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46"/>
      </w:tblGrid>
      <w:tr>
        <w:tc>
          <w:tcPr>
            <w:tcW w:type="dxa" w:w="10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38F" w:val="clear"/>
            <w:tcMar>
              <w:top w:type="dxa" w:w="120"/>
              <w:left w:type="dxa" w:w="200"/>
              <w:bottom w:type="dxa" w:w="1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2DFDB"/>
                <w:sz w:val="16"/>
                <w:szCs w:val="16"/>
              </w:rPr>
              <w:t xml:space="preserve">FICHE SYNTHÈSE</w:t>
            </w:r>
          </w:p>
          <w:p>
            <w:pPr>
              <w:spacing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ADDICTION ET SANTÉ</w:t>
            </w:r>
          </w:p>
          <w:p>
            <w:pPr>
              <w:spacing w:before="30"/>
              <w:jc w:val="center"/>
            </w:pPr>
            <w:r>
              <w:rPr>
                <w:rFonts w:ascii="Calibri" w:cs="Calibri" w:eastAsia="Calibri" w:hAnsi="Calibri"/>
                <w:color w:val="B2DFDB"/>
                <w:sz w:val="18"/>
                <w:szCs w:val="18"/>
              </w:rPr>
              <w:t xml:space="preserve">Centre les Wads – Association CMSEA</w:t>
            </w:r>
          </w:p>
        </w:tc>
      </w:tr>
    </w:tbl>
    <w:p>
      <w:pPr>
        <w:spacing w:after="20" w:before="40"/>
        <w:jc w:val="center"/>
      </w:pPr>
      <w:r>
        <w:rPr>
          <w:rFonts w:ascii="Calibri" w:cs="Calibri" w:eastAsia="Calibri" w:hAnsi="Calibri"/>
          <w:i/>
          <w:iCs/>
          <w:color w:val="546E7A"/>
          <w:sz w:val="14"/>
          <w:szCs w:val="14"/>
        </w:rPr>
        <w:t xml:space="preserve">Webinaire du 03/04/2024 – L. DIENY (Dir.), S. BALTEAU (Médecin CSAPA-CAARUD), F. KALETA (Dir. adj.)</w:t>
      </w:r>
    </w:p>
    <w:p>
      <w:pPr>
        <w:pBdr>
          <w:bottom w:val="single" w:color="00838F" w:sz="3" w:space="3"/>
        </w:pBdr>
        <w:spacing w:after="60" w:before="180"/>
      </w:pPr>
      <w:r>
        <w:rPr>
          <w:rFonts w:ascii="Calibri" w:cs="Calibri" w:eastAsia="Calibri" w:hAnsi="Calibri"/>
          <w:b/>
          <w:bCs/>
          <w:color w:val="00838F"/>
          <w:sz w:val="21"/>
          <w:szCs w:val="21"/>
        </w:rPr>
        <w:t xml:space="preserve">CAARUD – ACCUEIL ET RÉDUCTION DES RISQUES POUR USAGERS DE DROGUES</w:t>
      </w:r>
    </w:p>
    <w:p>
      <w:pPr>
        <w:spacing w:after="10" w:before="20"/>
      </w:pP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Public : 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Personnes consommatrices de substances psychoactives (licites ou illicites). Accueil gratuit, anonymat possible.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Accueil inconditionnel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– Collectif et/ou individuel, haut seuil de tolérance. Accueil même sous emprise de substances (si pas de trouble du comportement). Possibilité de consommer de l’alcool sur place pour prévenir le manque.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Réduction des risques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– Distribution de matériel (injection, crack, prévention IST, Naloxone). Accompagnement aux gestes de prévention.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Accompagnement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– Hygiène, accès aux soins, accès aux droits. Orientation vers services sociaux et soins spécialisés.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Aller-vers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– Interventions de proximité hors les murs pour établir et maintenir le lien avec les consommateurs.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Veille sanitaire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– Analyse des produits via le laboratoire Checklab (composition quantitative et qualitative) pour alerter en cas de danger.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Équipe transdisciplinaire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: travailleurs sociaux, infirmiers, médecins, psychologues, maîtresse de maison.</w:t>
      </w:r>
    </w:p>
    <w:p>
      <w:pPr>
        <w:pBdr>
          <w:bottom w:val="single" w:color="00838F" w:sz="3" w:space="3"/>
        </w:pBdr>
        <w:spacing w:after="60" w:before="180"/>
      </w:pPr>
      <w:r>
        <w:rPr>
          <w:rFonts w:ascii="Calibri" w:cs="Calibri" w:eastAsia="Calibri" w:hAnsi="Calibri"/>
          <w:b/>
          <w:bCs/>
          <w:color w:val="00838F"/>
          <w:sz w:val="21"/>
          <w:szCs w:val="21"/>
        </w:rPr>
        <w:t xml:space="preserve">CSAPA – SOINS, ACCOMPAGNEMENT ET PRÉVENTION EN ADDICTOLOGIE</w:t>
      </w:r>
    </w:p>
    <w:p>
      <w:pPr>
        <w:spacing w:after="10" w:before="20"/>
      </w:pP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Public : 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Toute personne concernée par une addiction (substances et comportements) ainsi que son entourage.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Missions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: accueil, diagnostic, information, soins, prévention et réduction des risques, orientation.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Accompagnement médico-psycho-social individualisé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: accompagnement du sevrage (ambulatoire ou hospitalier), préparation en amont et projection vers l’après, insertion et inclusion sociale.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Orientations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: droits communs et pathologies associées (psychiatriques et somatiques).</w:t>
      </w:r>
    </w:p>
    <w:p>
      <w:pPr>
        <w:spacing w:after="15" w:before="15"/>
        <w:ind w:left="240" w:hanging="180"/>
        <w:jc w:val="both"/>
      </w:pPr>
      <w:r>
        <w:rPr>
          <w:rFonts w:ascii="Calibri" w:cs="Calibri" w:eastAsia="Calibri" w:hAnsi="Calibri"/>
          <w:b/>
          <w:bCs/>
          <w:color w:val="00ACC1"/>
          <w:sz w:val="15"/>
          <w:szCs w:val="15"/>
        </w:rPr>
        <w:t xml:space="preserve">✓ </w:t>
      </w:r>
      <w:r>
        <w:rPr>
          <w:rFonts w:ascii="Calibri" w:cs="Calibri" w:eastAsia="Calibri" w:hAnsi="Calibri"/>
          <w:b/>
          <w:bCs/>
          <w:color w:val="263238"/>
          <w:sz w:val="15"/>
          <w:szCs w:val="15"/>
        </w:rPr>
        <w:t xml:space="preserve">Équipe transdisciplinaire</w:t>
      </w:r>
      <w:r>
        <w:rPr>
          <w:rFonts w:ascii="Calibri" w:cs="Calibri" w:eastAsia="Calibri" w:hAnsi="Calibri"/>
          <w:color w:val="263238"/>
          <w:sz w:val="15"/>
          <w:szCs w:val="15"/>
        </w:rPr>
        <w:t xml:space="preserve"> : travailleurs sociaux, infirmiers, médecins, psychologues, pharmaciens.</w:t>
      </w:r>
    </w:p>
    <w:p>
      <w:pPr>
        <w:pBdr>
          <w:bottom w:val="single" w:color="00838F" w:sz="3" w:space="3"/>
        </w:pBdr>
        <w:spacing w:after="60" w:before="180"/>
      </w:pPr>
      <w:r>
        <w:rPr>
          <w:rFonts w:ascii="Calibri" w:cs="Calibri" w:eastAsia="Calibri" w:hAnsi="Calibri"/>
          <w:b/>
          <w:bCs/>
          <w:color w:val="00838F"/>
          <w:sz w:val="21"/>
          <w:szCs w:val="21"/>
        </w:rPr>
        <w:t xml:space="preserve">AUTRES SERVICES DU CENTRE LES WADS</w:t>
      </w: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73"/>
        <w:gridCol w:w="5273"/>
      </w:tblGrid>
      <w:tr>
        <w:tc>
          <w:tcPr>
            <w:tcW w:type="dxa" w:w="5273"/>
            <w:tcBorders>
              <w:top w:val="none" w:color="FFFFFF" w:sz="0"/>
              <w:left w:val="none" w:color="FFFFFF" w:sz="0"/>
              <w:bottom w:val="none" w:color="FFFFFF" w:sz="0"/>
              <w:right w:val="single" w:color="B2DFDB" w:sz="1"/>
            </w:tcBorders>
            <w:tcMar>
              <w:top w:type="dxa" w:w="40"/>
              <w:left w:type="dxa" w:w="60"/>
              <w:bottom w:type="dxa" w:w="40"/>
              <w:right w:type="dxa" w:w="80"/>
            </w:tcMar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00838F"/>
                <w:sz w:val="15"/>
                <w:szCs w:val="15"/>
              </w:rPr>
              <w:t xml:space="preserve">👤 Consultation Jeunes Consommateurs (CJC)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12-25 ans. Intervention dès les premières consommations. Accompagnement de la famille.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00838F"/>
                <w:sz w:val="15"/>
                <w:szCs w:val="15"/>
              </w:rPr>
              <w:t xml:space="preserve">🏥 Unité de substitution (Rue Mazelle)</w:t>
            </w:r>
          </w:p>
          <w:p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Initialisation et distribution quotidienne des TSO (méthadone). Ajustement, stabilisation. Ressource pour prescripteurs de ville.</w:t>
            </w:r>
          </w:p>
        </w:tc>
        <w:tc>
          <w:tcPr>
            <w:tcW w:type="dxa" w:w="52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60"/>
            </w:tcMar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00838F"/>
                <w:sz w:val="15"/>
                <w:szCs w:val="15"/>
              </w:rPr>
              <w:t xml:space="preserve">🏘️ Microstructures médicales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Professionnels en addictologie intégrés dans maisons de santé ou cabinets isolés. Accès de proximité moins stigmatisant.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00838F"/>
                <w:sz w:val="15"/>
                <w:szCs w:val="15"/>
              </w:rPr>
              <w:t xml:space="preserve">🌿 Centre Thérapeutique Résidentiel de Foville</w:t>
            </w:r>
          </w:p>
          <w:p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Hébergement thérapeutique intensif. Référent maisons d’arrêt Metz et Sarreguemines. Appartements thérapeutiques.</w:t>
            </w:r>
          </w:p>
        </w:tc>
      </w:tr>
    </w:tbl>
    <w:p>
      <w:pPr>
        <w:spacing w:after="0" w:before="80"/>
      </w:pP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46"/>
      </w:tblGrid>
      <w:tr>
        <w:tc>
          <w:tcPr>
            <w:tcW w:type="dxa" w:w="10546"/>
            <w:tcBorders>
              <w:top w:val="single" w:color="00838F" w:sz="3"/>
              <w:left w:val="single" w:color="00838F" w:sz="3"/>
              <w:bottom w:val="single" w:color="00838F" w:sz="1"/>
              <w:right w:val="single" w:color="00838F" w:sz="1"/>
            </w:tcBorders>
            <w:shd w:fill="E0F2F1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25" w:before="0"/>
            </w:pPr>
            <w:r>
              <w:rPr>
                <w:rFonts w:ascii="Calibri" w:cs="Calibri" w:eastAsia="Calibri" w:hAnsi="Calibri"/>
                <w:b/>
                <w:bCs/>
                <w:color w:val="00838F"/>
                <w:sz w:val="17"/>
                <w:szCs w:val="17"/>
              </w:rPr>
              <w:t xml:space="preserve">ℹ️  ACCÈS AUX SERVICES</w:t>
            </w:r>
          </w:p>
          <w:p>
            <w:pPr>
              <w:spacing w:after="0" w:before="0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263238"/>
                <w:sz w:val="14"/>
                <w:szCs w:val="14"/>
              </w:rPr>
              <w:t xml:space="preserve">Tous les services sont financés par l’État et l’ARS : ils sont entièrement gratuits.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Aucune carte ni justificatif nécessaire – l’accueil est inconditionnel. Le centre travaille en collaboration avec la médecine libérale (médecins, pharmaciens, infirmiers, sage-femmes), acteurs de 1ère ligne pour le repérage, le suivi et l’orientation.</w:t>
            </w:r>
          </w:p>
        </w:tc>
      </w:tr>
    </w:tbl>
    <w:p>
      <w:r>
        <w:br w:type="page"/>
      </w:r>
    </w:p>
    <w:p>
      <w:pPr>
        <w:pBdr>
          <w:bottom w:val="single" w:color="00838F" w:sz="3" w:space="3"/>
        </w:pBdr>
        <w:spacing w:after="60" w:before="180"/>
      </w:pPr>
      <w:r>
        <w:rPr>
          <w:rFonts w:ascii="Calibri" w:cs="Calibri" w:eastAsia="Calibri" w:hAnsi="Calibri"/>
          <w:b/>
          <w:bCs/>
          <w:color w:val="00838F"/>
          <w:sz w:val="21"/>
          <w:szCs w:val="21"/>
        </w:rPr>
        <w:t xml:space="preserve">TRAITEMENTS DE SUBSTITUTION AUX OPIOÏDES (TSO)</w:t>
      </w: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73"/>
        <w:gridCol w:w="5273"/>
      </w:tblGrid>
      <w:tr>
        <w:tc>
          <w:tcPr>
            <w:tcW w:type="dxa" w:w="5273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BUPRÉNORPHINE (Subutex)</w:t>
            </w:r>
          </w:p>
        </w:tc>
        <w:tc>
          <w:tcPr>
            <w:tcW w:type="dxa" w:w="5273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7C00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MÉTHADONE</w:t>
            </w:r>
          </w:p>
        </w:tc>
      </w:tr>
      <w:tr>
        <w:tc>
          <w:tcPr>
            <w:tcW w:type="dxa" w:w="5273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E0F2F1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15"/>
            </w:pPr>
            <w:r>
              <w:rPr>
                <w:rFonts w:ascii="Calibri" w:cs="Calibri" w:eastAsia="Calibri" w:hAnsi="Calibri"/>
                <w:b/>
                <w:bCs/>
                <w:color w:val="263238"/>
                <w:sz w:val="14"/>
                <w:szCs w:val="14"/>
              </w:rPr>
              <w:t xml:space="preserve">▸ Traitement de 1ère intention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▸ Prescription par tout médecin de ville (cf. AMM)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▸ 1 prise/jour – 0,4 à 24 mg</w:t>
            </w:r>
          </w:p>
          <w:p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▸ Délivrance en pharmacie de ville</w:t>
            </w:r>
          </w:p>
        </w:tc>
        <w:tc>
          <w:tcPr>
            <w:tcW w:type="dxa" w:w="5273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FF3E0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15"/>
            </w:pPr>
            <w:r>
              <w:rPr>
                <w:rFonts w:ascii="Calibri" w:cs="Calibri" w:eastAsia="Calibri" w:hAnsi="Calibri"/>
                <w:b/>
                <w:bCs/>
                <w:color w:val="263238"/>
                <w:sz w:val="14"/>
                <w:szCs w:val="14"/>
              </w:rPr>
              <w:t xml:space="preserve">▸ Traitement de 2nde intention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▸ Initiation en CSAPA, hôpital ou maison d’arrêt uniquement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▸ 1 à 2 prises/jour – 80 à 100 mg/jour (sirop ou gélules)</w:t>
            </w:r>
          </w:p>
          <w:p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▸ Délivrance quotidienne puis en pharmacie</w:t>
            </w:r>
          </w:p>
        </w:tc>
      </w:tr>
    </w:tbl>
    <w:p>
      <w:pPr>
        <w:spacing w:after="0" w:before="80"/>
      </w:pP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46"/>
      </w:tblGrid>
      <w:tr>
        <w:tc>
          <w:tcPr>
            <w:tcW w:type="dxa" w:w="10546"/>
            <w:tcBorders>
              <w:top w:val="single" w:color="F57C00" w:sz="3"/>
              <w:left w:val="single" w:color="F57C00" w:sz="3"/>
              <w:bottom w:val="single" w:color="F57C00" w:sz="1"/>
              <w:right w:val="single" w:color="F57C00" w:sz="1"/>
            </w:tcBorders>
            <w:shd w:fill="FFF3E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25" w:before="0"/>
            </w:pPr>
            <w:r>
              <w:rPr>
                <w:rFonts w:ascii="Calibri" w:cs="Calibri" w:eastAsia="Calibri" w:hAnsi="Calibri"/>
                <w:b/>
                <w:bCs/>
                <w:color w:val="F57C00"/>
                <w:sz w:val="17"/>
                <w:szCs w:val="17"/>
              </w:rPr>
              <w:t xml:space="preserve">⚠️  POINTS DE VIGILANCE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263238"/>
                <w:sz w:val="14"/>
                <w:szCs w:val="14"/>
              </w:rPr>
              <w:t xml:space="preserve">Transfert de dépendance :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une réduction trop rapide des TSO peut mener à un report sur alcool ou benzodiazépines. Le changement de produit ne règle pas la problématique addictive.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263238"/>
                <w:sz w:val="14"/>
                <w:szCs w:val="14"/>
              </w:rPr>
              <w:t xml:space="preserve">TSO et grossesse :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fortement recommandés (le manque est plus dommageable). Pas de risque lié à l’augmentation des doses. Sevrage néonatal non systématique.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263238"/>
                <w:sz w:val="14"/>
                <w:szCs w:val="14"/>
              </w:rPr>
              <w:t xml:space="preserve">Overdose opiacés :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Naloxone = traitement d’urgence. Diminution du TSO uniquement sans consommation ni craving, de façon très progressive (~10%).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63238"/>
                <w:sz w:val="14"/>
                <w:szCs w:val="14"/>
              </w:rPr>
              <w:t xml:space="preserve">Arrêt des TSO :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réduction très progressive ou transfert sous Buprénorphine. Certains patients restent sous TSO à long terme, voire à vie.</w:t>
            </w:r>
          </w:p>
        </w:tc>
      </w:tr>
    </w:tbl>
    <w:p>
      <w:pPr>
        <w:spacing w:after="0" w:before="100"/>
      </w:pPr>
    </w:p>
    <w:p>
      <w:pPr>
        <w:pBdr>
          <w:bottom w:val="single" w:color="F57C00" w:sz="3" w:space="3"/>
        </w:pBdr>
        <w:spacing w:after="60" w:before="180"/>
      </w:pPr>
      <w:r>
        <w:rPr>
          <w:rFonts w:ascii="Calibri" w:cs="Calibri" w:eastAsia="Calibri" w:hAnsi="Calibri"/>
          <w:b/>
          <w:bCs/>
          <w:color w:val="F57C00"/>
          <w:sz w:val="21"/>
          <w:szCs w:val="21"/>
        </w:rPr>
        <w:t xml:space="preserve">BON À SAVOIR</w:t>
      </w: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46"/>
      </w:tblGrid>
      <w:tr>
        <w:tc>
          <w:tcPr>
            <w:tcW w:type="dxa" w:w="10546"/>
            <w:tcBorders>
              <w:top w:val="single" w:color="F57C00" w:sz="2"/>
              <w:left w:val="single" w:color="F57C00" w:sz="2"/>
              <w:bottom w:val="single" w:color="F57C00" w:sz="2"/>
              <w:right w:val="single" w:color="F57C00" w:sz="2"/>
            </w:tcBorders>
            <w:shd w:fill="FFF3E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20"/>
              <w:ind w:left="180" w:hanging="180"/>
            </w:pPr>
            <w:r>
              <w:rPr>
                <w:rFonts w:ascii="Calibri" w:cs="Calibri" w:eastAsia="Calibri" w:hAnsi="Calibri"/>
                <w:color w:val="F57C00"/>
                <w:sz w:val="14"/>
                <w:szCs w:val="14"/>
              </w:rPr>
              <w:t xml:space="preserve">▶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La collaboration Médecin généraliste / CSAPA / CAARUD est essentielle pour prévenir et limiter les mésusages médicamenteux.</w:t>
            </w:r>
          </w:p>
          <w:p>
            <w:pPr>
              <w:spacing w:after="20"/>
              <w:ind w:left="180" w:hanging="180"/>
            </w:pPr>
            <w:r>
              <w:rPr>
                <w:rFonts w:ascii="Calibri" w:cs="Calibri" w:eastAsia="Calibri" w:hAnsi="Calibri"/>
                <w:color w:val="F57C00"/>
                <w:sz w:val="14"/>
                <w:szCs w:val="14"/>
              </w:rPr>
              <w:t xml:space="preserve">▶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Médicaments à risque de dépendance (Tramadol, Codéine, Oxycodone, Prégabaline) : suivre les recommandations HAS, envisager sevrage progressif ou substitution par Buprénorphine.</w:t>
            </w:r>
          </w:p>
          <w:p>
            <w:pPr>
              <w:spacing w:after="20"/>
              <w:ind w:left="180" w:hanging="180"/>
            </w:pPr>
            <w:r>
              <w:rPr>
                <w:rFonts w:ascii="Calibri" w:cs="Calibri" w:eastAsia="Calibri" w:hAnsi="Calibri"/>
                <w:color w:val="F57C00"/>
                <w:sz w:val="14"/>
                <w:szCs w:val="14"/>
              </w:rPr>
              <w:t xml:space="preserve">▶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Le laboratoire Checklab analyse la composition des produits consommés pour alerter en cas de danger (ex. : héroïne fortement dosée).</w:t>
            </w:r>
          </w:p>
          <w:p>
            <w:pPr>
              <w:spacing w:after="20"/>
              <w:ind w:left="180" w:hanging="180"/>
            </w:pPr>
            <w:r>
              <w:rPr>
                <w:rFonts w:ascii="Calibri" w:cs="Calibri" w:eastAsia="Calibri" w:hAnsi="Calibri"/>
                <w:color w:val="F57C00"/>
                <w:sz w:val="14"/>
                <w:szCs w:val="14"/>
              </w:rPr>
              <w:t xml:space="preserve">▶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L’unité de substitution Rue Mazelle est une ressource pour les prescripteurs de ville : avis, conseil, stabilisation temporaire de patients sous TSO.</w:t>
            </w:r>
          </w:p>
          <w:p>
            <w:pPr>
              <w:spacing w:after="20"/>
              <w:ind w:left="180" w:hanging="180"/>
            </w:pPr>
            <w:r>
              <w:rPr>
                <w:rFonts w:ascii="Calibri" w:cs="Calibri" w:eastAsia="Calibri" w:hAnsi="Calibri"/>
                <w:color w:val="F57C00"/>
                <w:sz w:val="14"/>
                <w:szCs w:val="14"/>
              </w:rPr>
              <w:t xml:space="preserve">▶ </w:t>
            </w:r>
            <w:r>
              <w:rPr>
                <w:rFonts w:ascii="Calibri" w:cs="Calibri" w:eastAsia="Calibri" w:hAnsi="Calibri"/>
                <w:color w:val="263238"/>
                <w:sz w:val="14"/>
                <w:szCs w:val="14"/>
              </w:rPr>
              <w:t xml:space="preserve">Le centre les Wads c’est aussi : formations, recherche, antennes décentralisées, microstructures, appartements thérapeutiques, CSAPA référent en milieu carcéral.</w:t>
            </w:r>
          </w:p>
        </w:tc>
      </w:tr>
    </w:tbl>
    <w:p>
      <w:pPr>
        <w:spacing w:after="0" w:before="100"/>
      </w:pPr>
    </w:p>
    <w:p>
      <w:pPr>
        <w:pBdr>
          <w:bottom w:val="single" w:color="00ACC1" w:sz="3" w:space="3"/>
        </w:pBdr>
        <w:spacing w:after="60" w:before="180"/>
      </w:pPr>
      <w:r>
        <w:rPr>
          <w:rFonts w:ascii="Calibri" w:cs="Calibri" w:eastAsia="Calibri" w:hAnsi="Calibri"/>
          <w:b/>
          <w:bCs/>
          <w:color w:val="00ACC1"/>
          <w:sz w:val="21"/>
          <w:szCs w:val="21"/>
        </w:rPr>
        <w:t xml:space="preserve">COORDONNÉES UTILES</w:t>
      </w: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91"/>
        <w:gridCol w:w="6855"/>
      </w:tblGrid>
      <w:tr>
        <w:tc>
          <w:tcPr>
            <w:tcW w:type="dxa" w:w="369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38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2DFDB"/>
                <w:sz w:val="14"/>
                <w:szCs w:val="14"/>
              </w:rPr>
              <w:t xml:space="preserve">NUMÉRO UNIQUE</w:t>
            </w:r>
          </w:p>
          <w:p>
            <w:pPr>
              <w:spacing w:before="25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☎ 03 87 74 41 58</w:t>
            </w:r>
          </w:p>
          <w:p>
            <w:pPr>
              <w:spacing w:before="25"/>
              <w:jc w:val="center"/>
            </w:pPr>
            <w:r>
              <w:rPr>
                <w:rFonts w:ascii="Calibri" w:cs="Calibri" w:eastAsia="Calibri" w:hAnsi="Calibri"/>
                <w:color w:val="B2DFDB"/>
                <w:sz w:val="12"/>
                <w:szCs w:val="12"/>
              </w:rPr>
              <w:t xml:space="preserve">✉ accueil.wads@cmsea.asso.fr</w:t>
            </w:r>
          </w:p>
        </w:tc>
        <w:tc>
          <w:tcPr>
            <w:tcW w:type="dxa" w:w="6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1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838F"/>
                <w:sz w:val="14"/>
                <w:szCs w:val="14"/>
              </w:rPr>
              <w:t xml:space="preserve">26, Rue du Wad Billy – METZ</w:t>
            </w:r>
          </w:p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color w:val="546E7A"/>
                <w:sz w:val="11"/>
                <w:szCs w:val="11"/>
              </w:rPr>
              <w:t xml:space="preserve">Association CMSEA (Comité Mosellan de Sauvegarde de l’Enfance, de l’Adolescence et des Adultes)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546E7A"/>
                <w:sz w:val="11"/>
                <w:szCs w:val="11"/>
              </w:rPr>
              <w:t xml:space="preserve">Antennes décentralisées • Microstructures • Appartements thérapeutiques</w:t>
            </w:r>
          </w:p>
        </w:tc>
      </w:tr>
    </w:tbl>
    <w:p>
      <w:pPr>
        <w:spacing w:after="25" w:before="80"/>
      </w:pPr>
      <w:r>
        <w:rPr>
          <w:rFonts w:ascii="Calibri" w:cs="Calibri" w:eastAsia="Calibri" w:hAnsi="Calibri"/>
          <w:b/>
          <w:bCs/>
          <w:color w:val="00838F"/>
          <w:sz w:val="14"/>
          <w:szCs w:val="14"/>
        </w:rPr>
        <w:t xml:space="preserve">CAARUD – Accueil collectif </w:t>
      </w:r>
      <w:r>
        <w:rPr>
          <w:rFonts w:ascii="Calibri" w:cs="Calibri" w:eastAsia="Calibri" w:hAnsi="Calibri"/>
          <w:i/>
          <w:iCs/>
          <w:color w:val="546E7A"/>
          <w:sz w:val="13"/>
          <w:szCs w:val="13"/>
        </w:rPr>
        <w:t xml:space="preserve">(sans RDV)</w:t>
      </w: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15"/>
        <w:gridCol w:w="3515"/>
        <w:gridCol w:w="3516"/>
      </w:tblGrid>
      <w:tr>
        <w:tc>
          <w:tcPr>
            <w:tcW w:type="dxa" w:w="3515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Mardi</w:t>
            </w:r>
          </w:p>
        </w:tc>
        <w:tc>
          <w:tcPr>
            <w:tcW w:type="dxa" w:w="3515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Jeudi</w:t>
            </w:r>
          </w:p>
        </w:tc>
        <w:tc>
          <w:tcPr>
            <w:tcW w:type="dxa" w:w="351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Vendredi</w:t>
            </w:r>
          </w:p>
        </w:tc>
      </w:tr>
      <w:tr>
        <w:tc>
          <w:tcPr>
            <w:tcW w:type="dxa" w:w="3515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16h – 18h30</w:t>
            </w:r>
          </w:p>
        </w:tc>
        <w:tc>
          <w:tcPr>
            <w:tcW w:type="dxa" w:w="3515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16h – 18h30</w:t>
            </w:r>
          </w:p>
        </w:tc>
        <w:tc>
          <w:tcPr>
            <w:tcW w:type="dxa" w:w="3516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14h30 – 16h30</w:t>
            </w:r>
          </w:p>
        </w:tc>
      </w:tr>
    </w:tbl>
    <w:p>
      <w:pPr>
        <w:spacing w:after="25" w:before="50"/>
      </w:pPr>
      <w:r>
        <w:rPr>
          <w:rFonts w:ascii="Calibri" w:cs="Calibri" w:eastAsia="Calibri" w:hAnsi="Calibri"/>
          <w:b/>
          <w:bCs/>
          <w:color w:val="00838F"/>
          <w:sz w:val="14"/>
          <w:szCs w:val="14"/>
        </w:rPr>
        <w:t xml:space="preserve">CAARUD – Accueil individuel </w:t>
      </w:r>
      <w:r>
        <w:rPr>
          <w:rFonts w:ascii="Calibri" w:cs="Calibri" w:eastAsia="Calibri" w:hAnsi="Calibri"/>
          <w:i/>
          <w:iCs/>
          <w:color w:val="546E7A"/>
          <w:sz w:val="13"/>
          <w:szCs w:val="13"/>
        </w:rPr>
        <w:t xml:space="preserve">(avec ou sans RDV)</w:t>
      </w: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9"/>
        <w:gridCol w:w="2109"/>
        <w:gridCol w:w="2109"/>
        <w:gridCol w:w="2109"/>
        <w:gridCol w:w="2110"/>
      </w:tblGrid>
      <w:tr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Lundi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Mardi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Mercredi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Jeudi</w:t>
            </w:r>
          </w:p>
        </w:tc>
        <w:tc>
          <w:tcPr>
            <w:tcW w:type="dxa" w:w="211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00838F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Vendredi</w:t>
            </w:r>
          </w:p>
        </w:tc>
      </w:tr>
      <w:tr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9h–12h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9h–12h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9h–12h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9h–12h</w:t>
            </w:r>
          </w:p>
        </w:tc>
        <w:tc>
          <w:tcPr>
            <w:tcW w:type="dxa" w:w="211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9h–12h</w:t>
            </w:r>
          </w:p>
        </w:tc>
      </w:tr>
      <w:tr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13h30–17h30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13h30–18h30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13h30–17h30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13h30–18h30</w:t>
            </w:r>
          </w:p>
        </w:tc>
        <w:tc>
          <w:tcPr>
            <w:tcW w:type="dxa" w:w="211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13h30–16h30</w:t>
            </w:r>
          </w:p>
        </w:tc>
      </w:tr>
    </w:tbl>
    <w:p>
      <w:pPr>
        <w:spacing w:after="25" w:before="50"/>
      </w:pPr>
      <w:r>
        <w:rPr>
          <w:rFonts w:ascii="Calibri" w:cs="Calibri" w:eastAsia="Calibri" w:hAnsi="Calibri"/>
          <w:b/>
          <w:bCs/>
          <w:color w:val="F57C00"/>
          <w:sz w:val="14"/>
          <w:szCs w:val="14"/>
        </w:rPr>
        <w:t xml:space="preserve">CSAPA – Permanences d’accueil individualisées (PAI) </w:t>
      </w:r>
      <w:r>
        <w:rPr>
          <w:rFonts w:ascii="Calibri" w:cs="Calibri" w:eastAsia="Calibri" w:hAnsi="Calibri"/>
          <w:i/>
          <w:iCs/>
          <w:color w:val="546E7A"/>
          <w:sz w:val="13"/>
          <w:szCs w:val="13"/>
        </w:rPr>
        <w:t xml:space="preserve">sans RDV</w:t>
      </w:r>
    </w:p>
    <w:tbl>
      <w:tblPr>
        <w:tblW w:type="dxa" w:w="105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9"/>
        <w:gridCol w:w="2109"/>
        <w:gridCol w:w="2109"/>
        <w:gridCol w:w="2109"/>
        <w:gridCol w:w="2110"/>
      </w:tblGrid>
      <w:tr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7C00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Lundi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7C00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Mardi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7C00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Mercredi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7C00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Jeudi</w:t>
            </w:r>
          </w:p>
        </w:tc>
        <w:tc>
          <w:tcPr>
            <w:tcW w:type="dxa" w:w="211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7C00" w:val="clear"/>
            <w:tcMar>
              <w:top w:type="dxa" w:w="30"/>
              <w:left w:type="dxa" w:w="40"/>
              <w:bottom w:type="dxa" w:w="3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4"/>
                <w:szCs w:val="14"/>
              </w:rPr>
              <w:t xml:space="preserve">Vendredi</w:t>
            </w:r>
          </w:p>
        </w:tc>
      </w:tr>
      <w:tr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13h–16h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14h–17h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9h–12h</w:t>
            </w:r>
          </w:p>
        </w:tc>
        <w:tc>
          <w:tcPr>
            <w:tcW w:type="dxa" w:w="2109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15h–18h</w:t>
            </w:r>
          </w:p>
        </w:tc>
        <w:tc>
          <w:tcPr>
            <w:tcW w:type="dxa" w:w="2110"/>
            <w:tcBorders>
              <w:top w:val="single" w:color="B0BEC5" w:sz="1"/>
              <w:left w:val="single" w:color="B0BEC5" w:sz="1"/>
              <w:bottom w:val="single" w:color="B0BEC5" w:sz="1"/>
              <w:right w:val="single" w:color="B0BEC5" w:sz="1"/>
            </w:tcBorders>
            <w:shd w:fill="F5F5F5" w:val="clear"/>
            <w:tcMar>
              <w:top w:type="dxa" w:w="22"/>
              <w:left w:type="dxa" w:w="40"/>
              <w:bottom w:type="dxa" w:w="22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63238"/>
                <w:sz w:val="13"/>
                <w:szCs w:val="13"/>
              </w:rPr>
              <w:t xml:space="preserve">14h–17h</w:t>
            </w:r>
          </w:p>
        </w:tc>
      </w:tr>
    </w:tbl>
    <w:sectPr>
      <w:footerReference w:type="default" r:id="rId7"/>
      <w:pgSz w:w="11906" w:h="16838" w:orient="portrait"/>
      <w:pgMar w:top="500" w:right="680" w:bottom="460" w:left="6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46E7A"/>
        <w:sz w:val="12"/>
        <w:szCs w:val="12"/>
      </w:rPr>
      <w:t xml:space="preserve">Fiche synthèse – Addiction et Santé – Centre les Wads (CMSEA) – 03/04/2024 – p.</w:t>
    </w:r>
    <w:r>
      <w:rPr>
        <w:rFonts w:ascii="Calibri" w:cs="Calibri" w:eastAsia="Calibri" w:hAnsi="Calibri"/>
        <w:color w:val="546E7A"/>
        <w:sz w:val="12"/>
        <w:szCs w:val="12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546E7A"/>
        <w:sz w:val="12"/>
        <w:szCs w:val="12"/>
      </w:rPr>
      <w:t xml:space="preserve"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2026-04-16T20:01:13.867Z</dcterms:created>
  <dcterms:modified xsi:type="dcterms:W3CDTF">2026-04-16T20:01:13.868Z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