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66"/>
      </w:tblGrid>
      <w:tr>
        <w:tc>
          <w:tcPr>
            <w:tcW w:type="dxa" w:w="106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100"/>
              <w:left w:type="dxa" w:w="180"/>
              <w:bottom w:type="dxa" w:w="80"/>
              <w:right w:type="dxa" w:w="1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E93D8"/>
                <w:sz w:val="20"/>
                <w:szCs w:val="20"/>
              </w:rPr>
              <w:t xml:space="preserve">FICHE SYNTHÈSE</w:t>
            </w:r>
          </w:p>
          <w:p>
            <w:pPr>
              <w:spacing w:before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PRÉVENIR ET DÉPISTER LES VIOLENCES FAITES AUX FEMMES</w:t>
            </w:r>
          </w:p>
          <w:p>
            <w:pPr>
              <w:spacing w:before="20"/>
              <w:jc w:val="center"/>
            </w:pPr>
            <w:r>
              <w:rPr>
                <w:rFonts w:ascii="Calibri" w:cs="Calibri" w:eastAsia="Calibri" w:hAnsi="Calibri"/>
                <w:color w:val="CE93D8"/>
                <w:sz w:val="20"/>
                <w:szCs w:val="20"/>
              </w:rPr>
              <w:t xml:space="preserve">AIEM PAV – Formation PASS du 24 mars 2026</w:t>
            </w:r>
          </w:p>
        </w:tc>
      </w:tr>
    </w:tbl>
    <w:p>
      <w:pPr>
        <w:spacing w:after="15" w:before="30"/>
        <w:jc w:val="center"/>
      </w:pPr>
      <w:r>
        <w:rPr>
          <w:rFonts w:ascii="Calibri" w:cs="Calibri" w:eastAsia="Calibri" w:hAnsi="Calibri"/>
          <w:i/>
          <w:iCs/>
          <w:color w:val="616161"/>
          <w:sz w:val="20"/>
          <w:szCs w:val="20"/>
        </w:rPr>
        <w:t xml:space="preserve">Intervenantes : Juliette MARTIN (Coordinatrice) et Isabelle SCHUTZ (Éducatrice Spécialisée) – AIEM PAV</w:t>
      </w:r>
    </w:p>
    <w:p>
      <w:pPr>
        <w:pBdr>
          <w:bottom w:val="single" w:color="6A1B9A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1. ENJEUX DU DÉPISTAGE SYSTÉMATIQUE</w:t>
      </w:r>
    </w:p>
    <w:p>
      <w:pPr>
        <w:spacing w:after="15" w:before="15"/>
        <w:jc w:val="both"/>
      </w:pPr>
      <w:r>
        <w:rPr>
          <w:rFonts w:ascii="Calibri" w:cs="Calibri" w:eastAsia="Calibri" w:hAnsi="Calibri"/>
          <w:color w:val="212121"/>
          <w:sz w:val="22"/>
          <w:szCs w:val="22"/>
        </w:rPr>
        <w:t xml:space="preserve">Le repérage des violences conjugales est un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acte médical de première ligne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. Les professionnels de santé sont les interlocuteurs privilégiés des femmes, avant les forces de l’ordre et les associations.</w:t>
      </w:r>
    </w:p>
    <w:tbl>
      <w:tblPr>
        <w:tblW w:type="dxa" w:w="106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33"/>
        <w:gridCol w:w="5333"/>
      </w:tblGrid>
      <w:tr>
        <w:tc>
          <w:tcPr>
            <w:tcW w:type="dxa" w:w="53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5" w:before="5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AD1457"/>
                <w:sz w:val="22"/>
                <w:szCs w:val="22"/>
              </w:rPr>
              <w:t xml:space="preserve">3 à 4 patientes sur 10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 pourraient être victimes de violences conjugales.</w:t>
            </w:r>
          </w:p>
          <w:p>
            <w:pPr>
              <w:spacing w:after="5" w:before="5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AD1457"/>
                <w:sz w:val="22"/>
                <w:szCs w:val="22"/>
              </w:rPr>
              <w:t xml:space="preserve">96 % des femmes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 sont favorables au questionnement systématique par leur médecin.</w:t>
            </w:r>
          </w:p>
        </w:tc>
        <w:tc>
          <w:tcPr>
            <w:tcW w:type="dxa" w:w="53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spacing w:after="5" w:before="5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AD1457"/>
                <w:sz w:val="22"/>
                <w:szCs w:val="22"/>
              </w:rPr>
              <w:t xml:space="preserve">Seulement 14 %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 des femmes sont interrogées sur leur relation de couple.</w:t>
            </w:r>
          </w:p>
          <w:p>
            <w:pPr>
              <w:spacing w:after="5" w:before="5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AD1457"/>
                <w:sz w:val="22"/>
                <w:szCs w:val="22"/>
              </w:rPr>
              <w:t xml:space="preserve">À peine 3 %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 font l’objet d’un questionnement spécifique sur les violences.</w:t>
            </w:r>
          </w:p>
        </w:tc>
      </w:tr>
    </w:tbl>
    <w:p>
      <w:pPr>
        <w:pBdr>
          <w:bottom w:val="single" w:color="6A1B9A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2. DÉFINITIONS ET TYPOLOGIE DES VIOLENCES</w:t>
      </w:r>
    </w:p>
    <w:p>
      <w:pPr>
        <w:spacing w:after="15" w:before="15"/>
        <w:jc w:val="both"/>
      </w:pP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Conflit conjugal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= opposition entre deux personnes sur un plan d’égalité.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Violence conjugale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= processus d’emprise fondé sur un rapport de force asymétrique (contrôle, domination, silence).</w:t>
      </w:r>
    </w:p>
    <w:p>
      <w:pPr>
        <w:spacing w:after="15" w:before="15"/>
        <w:jc w:val="both"/>
      </w:pP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Formes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Psychologiques (dévalorisations, humiliations) • Verbales (cris, insultes, menaces) • Physiques (coups, strangulations) • Économiques (contrôle des comptes, privation d’autonomie) • Sexuelles (viols conjugaux, refus de contraception).</w:t>
      </w:r>
    </w:p>
    <w:p>
      <w:pPr>
        <w:spacing w:after="15" w:before="15"/>
        <w:jc w:val="both"/>
      </w:pP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Cyberviolences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Cyber contrôle (joignable en permanence, confiscation téléphone), Cyber surveillance (logiciels espions, traceurs GPS), Cyber harcèlement (menaces par messages), Cyber violence sexuelle.</w:t>
      </w:r>
    </w:p>
    <w:p>
      <w:pPr>
        <w:spacing w:after="15" w:before="15"/>
        <w:jc w:val="both"/>
      </w:pP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Escalade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Agressions psychologiques → Violence verbale → Agressions physiques → Homicide. La dynamique est rarement stationnaire.</w:t>
      </w:r>
    </w:p>
    <w:p>
      <w:pPr>
        <w:pBdr>
          <w:bottom w:val="single" w:color="6A1B9A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3. CYCLE DE LA VIOLENCE (LENORE WALKER)</w:t>
      </w:r>
    </w:p>
    <w:tbl>
      <w:tblPr>
        <w:tblW w:type="dxa" w:w="106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66"/>
        <w:gridCol w:w="2666"/>
        <w:gridCol w:w="2666"/>
        <w:gridCol w:w="2668"/>
      </w:tblGrid>
      <w:tr>
        <w:tc>
          <w:tcPr>
            <w:tcW w:type="dxa" w:w="26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30"/>
              <w:left w:type="dxa" w:w="50"/>
              <w:bottom w:type="dxa" w:w="3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1. TENSION</w:t>
            </w:r>
          </w:p>
        </w:tc>
        <w:tc>
          <w:tcPr>
            <w:tcW w:type="dxa" w:w="26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30"/>
              <w:left w:type="dxa" w:w="50"/>
              <w:bottom w:type="dxa" w:w="3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2. PASSAGE À L’ACTE</w:t>
            </w:r>
          </w:p>
        </w:tc>
        <w:tc>
          <w:tcPr>
            <w:tcW w:type="dxa" w:w="26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30"/>
              <w:left w:type="dxa" w:w="50"/>
              <w:bottom w:type="dxa" w:w="3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3. CULPABILISATION</w:t>
            </w:r>
          </w:p>
        </w:tc>
        <w:tc>
          <w:tcPr>
            <w:tcW w:type="dxa" w:w="2668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30"/>
              <w:left w:type="dxa" w:w="50"/>
              <w:bottom w:type="dxa" w:w="3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4. LUNE DE MIEL</w:t>
            </w:r>
          </w:p>
        </w:tc>
      </w:tr>
      <w:tr>
        <w:tc>
          <w:tcPr>
            <w:tcW w:type="dxa" w:w="26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50"/>
              <w:bottom w:type="dxa" w:w="25"/>
              <w:right w:type="dxa" w:w="50"/>
            </w:tcMar>
            <w:vAlign w:val="top"/>
          </w:tcPr>
          <w:p>
            <w:r>
              <w:rPr>
                <w:rFonts w:ascii="Calibri" w:cs="Calibri" w:eastAsia="Calibri" w:hAnsi="Calibri"/>
                <w:color w:val="212121"/>
                <w:sz w:val="20"/>
                <w:szCs w:val="20"/>
              </w:rPr>
              <w:t xml:space="preserve">L’auteur est irritable ; la victime s’adapte pour éviter l’explosion.</w:t>
            </w:r>
          </w:p>
        </w:tc>
        <w:tc>
          <w:tcPr>
            <w:tcW w:type="dxa" w:w="26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50"/>
              <w:bottom w:type="dxa" w:w="25"/>
              <w:right w:type="dxa" w:w="50"/>
            </w:tcMar>
            <w:vAlign w:val="top"/>
          </w:tcPr>
          <w:p>
            <w:r>
              <w:rPr>
                <w:rFonts w:ascii="Calibri" w:cs="Calibri" w:eastAsia="Calibri" w:hAnsi="Calibri"/>
                <w:color w:val="212121"/>
                <w:sz w:val="20"/>
                <w:szCs w:val="20"/>
              </w:rPr>
              <w:t xml:space="preserve">Décharge de tension par l’agression physique ou verbale.</w:t>
            </w:r>
          </w:p>
        </w:tc>
        <w:tc>
          <w:tcPr>
            <w:tcW w:type="dxa" w:w="26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50"/>
              <w:bottom w:type="dxa" w:w="25"/>
              <w:right w:type="dxa" w:w="50"/>
            </w:tcMar>
            <w:vAlign w:val="top"/>
          </w:tcPr>
          <w:p>
            <w:r>
              <w:rPr>
                <w:rFonts w:ascii="Calibri" w:cs="Calibri" w:eastAsia="Calibri" w:hAnsi="Calibri"/>
                <w:color w:val="212121"/>
                <w:sz w:val="20"/>
                <w:szCs w:val="20"/>
              </w:rPr>
              <w:t xml:space="preserve">L’auteur rejette la faute sur la victime ou des facteurs externes.</w:t>
            </w:r>
          </w:p>
        </w:tc>
        <w:tc>
          <w:tcPr>
            <w:tcW w:type="dxa" w:w="2668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50"/>
              <w:bottom w:type="dxa" w:w="25"/>
              <w:right w:type="dxa" w:w="50"/>
            </w:tcMar>
            <w:vAlign w:val="top"/>
          </w:tcPr>
          <w:p>
            <w:r>
              <w:rPr>
                <w:rFonts w:ascii="Calibri" w:cs="Calibri" w:eastAsia="Calibri" w:hAnsi="Calibri"/>
                <w:color w:val="212121"/>
                <w:sz w:val="20"/>
                <w:szCs w:val="20"/>
              </w:rPr>
              <w:t xml:space="preserve">L’auteur demande pardon, promet de changer. La victime donne une « dernière chance ».</w:t>
            </w:r>
          </w:p>
        </w:tc>
      </w:tr>
    </w:tbl>
    <w:p>
      <w:pPr>
        <w:spacing w:after="15" w:before="30"/>
        <w:jc w:val="both"/>
      </w:pP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Moments à risque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grossesse, deuil, perte d’emploi, séparation (danger létal accru).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Facteurs de vulnérabilité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handicap, isolement social, violences durant l’enfance, précarité.</w:t>
      </w:r>
    </w:p>
    <w:p>
      <w:pPr>
        <w:pBdr>
          <w:bottom w:val="single" w:color="6A1B9A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4. REPÉRAGE : SIGNES D’ALERTE</w:t>
      </w:r>
    </w:p>
    <w:p>
      <w:pPr>
        <w:spacing w:after="15" w:before="15"/>
        <w:jc w:val="both"/>
      </w:pP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Troubles psychiques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état dépressif, anxiété, idées suicidaires, stress post-traumatique, addictions.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Plaintes physiques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douleurs chroniques inexplicables, fatigue intense.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Blessures suspectes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hématomes, traces de strangulation, lésions d’âges différents.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Santé sexuelle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IST répétées, IVG, grossesses non désirées.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Comportements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prudence exacerbée, peur des représailles, isolement.</w:t>
      </w:r>
    </w:p>
    <w:p>
      <w:pPr>
        <w:spacing w:after="15" w:before="15"/>
        <w:jc w:val="both"/>
      </w:pP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Idées reçues à déconstruire : 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l’alcool n’est pas la cause mais un désinhibiteur ; la violence est intentionnelle. Ne pas craindre d’offenser : 96 % des femmes attendent la question.</w:t>
      </w:r>
    </w:p>
    <w:p>
      <w:r>
        <w:br w:type="page"/>
      </w:r>
    </w:p>
    <w:p>
      <w:pPr>
        <w:pBdr>
          <w:bottom w:val="single" w:color="6A1B9A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5. LES 8 ÉTAPES DE L’ENTRETIEN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Créer un climat d’écoute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Confidentialité absolue, entretien seul à seule, accueil inconditionnel.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Poser systématiquement la question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« Comment cela se passe-t-il à la maison ? » / « Êtes-vous en sécurité chez vous ? »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Affirmer la loi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La violence est interdite. L’auteur est le seul responsable.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Évaluer les risques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Danger immédiat pour la femme et les enfants. Établir un scénario de protection.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Délivrer un message de soutien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Valoriser la parole et la démarche de la patiente.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Apporter une solution métier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Soins, certificats médicaux, accompagnement social ou juridique.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Informer et orienter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Réseau de partenaires spécialisés. En cas de danger, alerter le partenaire le plus approprié.</w:t>
      </w:r>
    </w:p>
    <w:p>
      <w:pPr>
        <w:spacing w:after="12" w:before="12"/>
        <w:ind w:left="220" w:hanging="17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8. </w:t>
      </w:r>
      <w:r>
        <w:rPr>
          <w:rFonts w:ascii="Calibri" w:cs="Calibri" w:eastAsia="Calibri" w:hAnsi="Calibri"/>
          <w:b/>
          <w:bCs/>
          <w:color w:val="212121"/>
          <w:sz w:val="22"/>
          <w:szCs w:val="22"/>
        </w:rPr>
        <w:t xml:space="preserve">Signifier sa disponibilité</w:t>
      </w:r>
      <w:r>
        <w:rPr>
          <w:rFonts w:ascii="Calibri" w:cs="Calibri" w:eastAsia="Calibri" w:hAnsi="Calibri"/>
          <w:color w:val="212121"/>
          <w:sz w:val="22"/>
          <w:szCs w:val="22"/>
        </w:rPr>
        <w:t xml:space="preserve"> – Fixer systématiquement un nouveau rendez-vous de suivi.</w:t>
      </w:r>
    </w:p>
    <w:p>
      <w:pPr>
        <w:pBdr>
          <w:bottom w:val="single" w:color="6A1B9A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6A1B9A"/>
          <w:sz w:val="22"/>
          <w:szCs w:val="22"/>
        </w:rPr>
        <w:t xml:space="preserve">6. ÉVALUATION DE LA GRAVITÉ ET MESURES D’URGENCE</w:t>
      </w:r>
    </w:p>
    <w:tbl>
      <w:tblPr>
        <w:tblW w:type="dxa" w:w="106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33"/>
        <w:gridCol w:w="5333"/>
      </w:tblGrid>
      <w:tr>
        <w:tc>
          <w:tcPr>
            <w:tcW w:type="dxa" w:w="5333"/>
            <w:tcBorders>
              <w:top w:val="none" w:color="FFFFFF" w:sz="0"/>
              <w:left w:val="none" w:color="FFFFFF" w:sz="0"/>
              <w:bottom w:val="none" w:color="FFFFFF" w:sz="0"/>
              <w:right w:val="single" w:color="CE93D8" w:sz="1"/>
            </w:tcBorders>
            <w:tcMar>
              <w:top w:type="dxa" w:w="30"/>
              <w:left w:type="dxa" w:w="60"/>
              <w:bottom w:type="dxa" w:w="30"/>
              <w:right w:type="dxa" w:w="80"/>
            </w:tcMar>
          </w:tcPr>
          <w:p>
            <w:pPr>
              <w:spacing w:after="5" w:before="15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AD1457"/>
                <w:sz w:val="22"/>
                <w:szCs w:val="22"/>
              </w:rPr>
              <w:t xml:space="preserve">Critères de gravité :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12121"/>
                <w:sz w:val="22"/>
                <w:szCs w:val="22"/>
              </w:rPr>
              <w:t xml:space="preserve">Agresseur :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menaces de mort, armes, tentatives de strangulation, antécédents.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12121"/>
                <w:sz w:val="22"/>
                <w:szCs w:val="22"/>
              </w:rPr>
              <w:t xml:space="preserve">Victime :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dépression sévère, risque suicidaire, grossesse, handicap, isolement.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12121"/>
                <w:sz w:val="22"/>
                <w:szCs w:val="22"/>
              </w:rPr>
              <w:t xml:space="preserve">Enfants :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retentissement sur les enfants du foyer.</w:t>
            </w:r>
          </w:p>
        </w:tc>
        <w:tc>
          <w:tcPr>
            <w:tcW w:type="dxa" w:w="53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80"/>
              <w:bottom w:type="dxa" w:w="30"/>
              <w:right w:type="dxa" w:w="60"/>
            </w:tcMar>
          </w:tcPr>
          <w:p>
            <w:pPr>
              <w:spacing w:after="5" w:before="15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AD1457"/>
                <w:sz w:val="22"/>
                <w:szCs w:val="22"/>
              </w:rPr>
              <w:t xml:space="preserve">Actions d’urgence :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12121"/>
                <w:sz w:val="22"/>
                <w:szCs w:val="22"/>
              </w:rPr>
              <w:t xml:space="preserve">Urgence vitale :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appel au 15 ou 17.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12121"/>
                <w:sz w:val="22"/>
                <w:szCs w:val="22"/>
              </w:rPr>
              <w:t xml:space="preserve">Mise en sécurité :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hospitalisation ou hébergement d’urgence (115).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12121"/>
                <w:sz w:val="22"/>
                <w:szCs w:val="22"/>
              </w:rPr>
              <w:t xml:space="preserve">Secret médical (art. 226-14 CP) :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possibilité de signalement au Procureur sans accord de la victime si danger immédiat et emprise.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212121"/>
                <w:sz w:val="22"/>
                <w:szCs w:val="22"/>
              </w:rPr>
              <w:t xml:space="preserve">Ordonnance de protection :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saisine du JAF en urgence, même sans dépôt de plainte.</w:t>
            </w:r>
          </w:p>
        </w:tc>
      </w:tr>
    </w:tbl>
    <w:p>
      <w:pPr>
        <w:spacing w:after="0" w:before="80"/>
      </w:pPr>
    </w:p>
    <w:p>
      <w:pPr>
        <w:pBdr>
          <w:bottom w:val="single" w:color="E65100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E65100"/>
          <w:sz w:val="22"/>
          <w:szCs w:val="22"/>
        </w:rPr>
        <w:t xml:space="preserve">BON À SAVOIR</w:t>
      </w:r>
    </w:p>
    <w:tbl>
      <w:tblPr>
        <w:tblW w:type="dxa" w:w="106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66"/>
      </w:tblGrid>
      <w:tr>
        <w:tc>
          <w:tcPr>
            <w:tcW w:type="dxa" w:w="10666"/>
            <w:tcBorders>
              <w:top w:val="single" w:color="E65100" w:sz="3"/>
              <w:left w:val="single" w:color="E65100" w:sz="3"/>
              <w:bottom w:val="single" w:color="E65100" w:sz="1"/>
              <w:right w:val="single" w:color="E65100" w:sz="1"/>
            </w:tcBorders>
            <w:shd w:fill="FFF3E0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E65100"/>
                <w:sz w:val="22"/>
                <w:szCs w:val="22"/>
              </w:rPr>
              <w:t xml:space="preserve">💡 POINTS CLÉS À RETENIR</w:t>
            </w:r>
          </w:p>
          <w:p>
            <w:pPr>
              <w:spacing w:after="8" w:before="3"/>
              <w:jc w:val="both"/>
            </w:pPr>
            <w:r>
              <w:rPr>
                <w:rFonts w:ascii="Calibri" w:cs="Calibri" w:eastAsia="Calibri" w:hAnsi="Calibri"/>
                <w:color w:val="E65100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Le dépistage doit être systématique, quel que soit le milieu social ou le motif de consultation.</w:t>
            </w:r>
          </w:p>
          <w:p>
            <w:pPr>
              <w:spacing w:after="8" w:before="3"/>
              <w:jc w:val="both"/>
            </w:pPr>
            <w:r>
              <w:rPr>
                <w:rFonts w:ascii="Calibri" w:cs="Calibri" w:eastAsia="Calibri" w:hAnsi="Calibri"/>
                <w:color w:val="E65100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En cas de doute : ne pas insister mais proposer des outils (Violentomètre, Mémo de Vie) et noter les éléments dans le dossier.</w:t>
            </w:r>
          </w:p>
          <w:p>
            <w:pPr>
              <w:spacing w:after="8" w:before="3"/>
              <w:jc w:val="both"/>
            </w:pPr>
            <w:r>
              <w:rPr>
                <w:rFonts w:ascii="Calibri" w:cs="Calibri" w:eastAsia="Calibri" w:hAnsi="Calibri"/>
                <w:color w:val="E65100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L’agresseur utilise souvent les enfants comme outils de coercition. La parentalité est directement impactée.</w:t>
            </w:r>
          </w:p>
          <w:p>
            <w:pPr>
              <w:spacing w:after="8" w:before="3"/>
              <w:jc w:val="both"/>
            </w:pPr>
            <w:r>
              <w:rPr>
                <w:rFonts w:ascii="Calibri" w:cs="Calibri" w:eastAsia="Calibri" w:hAnsi="Calibri"/>
                <w:color w:val="E65100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Profils d’auteurs (Holtzworth-Munroe &amp; Stuart) : Family-only, Borderline/Dysphorique, Violent généralisé/Antisocial. Pas de profil type unique.</w:t>
            </w:r>
          </w:p>
          <w:p>
            <w:pPr>
              <w:spacing w:after="3" w:before="3"/>
              <w:jc w:val="both"/>
            </w:pPr>
            <w:r>
              <w:rPr>
                <w:rFonts w:ascii="Calibri" w:cs="Calibri" w:eastAsia="Calibri" w:hAnsi="Calibri"/>
                <w:color w:val="E65100"/>
                <w:sz w:val="22"/>
                <w:szCs w:val="22"/>
              </w:rPr>
              <w:t xml:space="preserve">▶ </w:t>
            </w:r>
            <w:r>
              <w:rPr>
                <w:rFonts w:ascii="Calibri" w:cs="Calibri" w:eastAsia="Calibri" w:hAnsi="Calibri"/>
                <w:color w:val="212121"/>
                <w:sz w:val="22"/>
                <w:szCs w:val="22"/>
              </w:rPr>
              <w:t xml:space="preserve">Sites ressources : arretonslesviolences.gouv.fr • Declic • HAS • Vade-mecum secret/violences du CNOM.</w:t>
            </w:r>
          </w:p>
        </w:tc>
      </w:tr>
    </w:tbl>
    <w:p>
      <w:pPr>
        <w:spacing w:after="0" w:before="100"/>
      </w:pPr>
    </w:p>
    <w:p>
      <w:pPr>
        <w:pBdr>
          <w:bottom w:val="single" w:color="00695C" w:sz="3" w:space="2"/>
        </w:pBdr>
        <w:spacing w:after="50" w:before="160"/>
      </w:pPr>
      <w:r>
        <w:rPr>
          <w:rFonts w:ascii="Calibri" w:cs="Calibri" w:eastAsia="Calibri" w:hAnsi="Calibri"/>
          <w:b/>
          <w:bCs/>
          <w:color w:val="00695C"/>
          <w:sz w:val="22"/>
          <w:szCs w:val="22"/>
        </w:rPr>
        <w:t xml:space="preserve">COORDONNÉES UTILES (METZ / MOSELLE)</w:t>
      </w:r>
    </w:p>
    <w:tbl>
      <w:tblPr>
        <w:tblW w:type="dxa" w:w="106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500"/>
        <w:gridCol w:w="5566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Organisme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Mission / Précisions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3919 (national)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3919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Écoute anonyme et gratuite, 24h/24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Police / Gendarmerie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17 (urgence)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Intervention et dépôt de plainte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Inform’elles (Metz)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03 87 35 05 64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10 rue Mazelle. L-V 9h-17h (fermé mer. matin). informelles@association-aiem.fr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Dispositif Mobile (DMV)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06 49 77 55 54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Mise à l’abri urgence FVV. fvv@est-accompagnement.fr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Hébergement (115)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03 87 32 38 56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N° réservé aux professionnels. FVV = public prioritaire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CIDFF Moselle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03 87 76 03 48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Information sur les droits des femmes et des familles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Interv. social gendarmerie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06 07 15 09 28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Jessica Lallemand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Interv. social police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06 20 03 29 27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Anaïs Dei Tos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LéA (Thionville)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06 80 66 57 05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6 rue du Cygne. L, M 9h-16h30 / V 9h-12h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SAPVC (Forbach)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03 87 84 83 29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1 rue des Moulins. Mar 9h-11h / 13h30-15h30 (sur RDV)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UMJ HIA Legouest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03 87 56 22 07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Bât. 49. Expertise et constatations médico-légales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12121"/>
                <w:sz w:val="20"/>
                <w:szCs w:val="20"/>
              </w:rPr>
              <w:t xml:space="preserve">CPCA (Auteurs)</w:t>
            </w:r>
          </w:p>
        </w:tc>
        <w:tc>
          <w:tcPr>
            <w:tcW w:type="dxa" w:w="2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03 72 80 00 64</w:t>
            </w:r>
          </w:p>
        </w:tc>
        <w:tc>
          <w:tcPr>
            <w:tcW w:type="dxa" w:w="5566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3E5F5" w:val="clear"/>
            <w:tcMar>
              <w:top w:type="dxa" w:w="25"/>
              <w:left w:type="dxa" w:w="60"/>
              <w:bottom w:type="dxa" w:w="25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12121"/>
                <w:sz w:val="20"/>
                <w:szCs w:val="20"/>
              </w:rPr>
              <w:t xml:space="preserve">20 rue de Stoxey, Metz. Prise en charge auteurs de violences</w:t>
            </w:r>
          </w:p>
        </w:tc>
      </w:tr>
    </w:tbl>
    <w:sectPr>
      <w:footerReference w:type="default" r:id="rId7"/>
      <w:pgSz w:w="11906" w:h="16838" w:orient="portrait"/>
      <w:pgMar w:top="460" w:right="620" w:bottom="4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16161"/>
        <w:sz w:val="18"/>
        <w:szCs w:val="18"/>
      </w:rPr>
      <w:t xml:space="preserve">Fiche synthèse – Violences faites aux femmes – AIEM PAV – 24/03/2026 – p.</w:t>
    </w:r>
    <w:r>
      <w:rPr>
        <w:rFonts w:ascii="Calibri" w:cs="Calibri" w:eastAsia="Calibri" w:hAnsi="Calibri"/>
        <w:color w:val="616161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16161"/>
        <w:sz w:val="18"/>
        <w:szCs w:val="18"/>
      </w:rPr>
      <w:t xml:space="preserve"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2026-04-16T20:17:15.426Z</dcterms:created>
  <dcterms:modified xsi:type="dcterms:W3CDTF">2026-04-16T20:17:15.427Z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